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C942" w14:textId="0E8808AA" w:rsidR="00E420C4" w:rsidRPr="00E420C4" w:rsidRDefault="00E420C4" w:rsidP="004249A7">
      <w:pPr>
        <w:jc w:val="center"/>
        <w:rPr>
          <w:sz w:val="28"/>
          <w:szCs w:val="28"/>
        </w:rPr>
      </w:pPr>
      <w:r w:rsidRPr="00E420C4">
        <w:rPr>
          <w:sz w:val="28"/>
          <w:szCs w:val="28"/>
        </w:rPr>
        <w:t>TEMPLE CITY UNIFIED SCHOOL DISTRICT</w:t>
      </w:r>
    </w:p>
    <w:p w14:paraId="13C121C0" w14:textId="1DB98CA6" w:rsidR="00E420C4" w:rsidRPr="00E420C4" w:rsidRDefault="00E420C4" w:rsidP="00E420C4">
      <w:pPr>
        <w:jc w:val="center"/>
        <w:rPr>
          <w:b/>
          <w:sz w:val="32"/>
          <w:szCs w:val="32"/>
          <w:u w:val="single"/>
        </w:rPr>
      </w:pPr>
      <w:r w:rsidRPr="00E420C4">
        <w:rPr>
          <w:b/>
          <w:sz w:val="32"/>
          <w:szCs w:val="32"/>
          <w:u w:val="single"/>
        </w:rPr>
        <w:t>ADDENDUM NO. 1</w:t>
      </w:r>
    </w:p>
    <w:p w14:paraId="7A788822" w14:textId="02C5EAD6" w:rsidR="00E420C4" w:rsidRPr="00AC3327" w:rsidRDefault="0037426B" w:rsidP="00E420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CalSHAPE HVAC Services</w:t>
      </w:r>
    </w:p>
    <w:p w14:paraId="2EE0F7B9" w14:textId="5A1C9FE2" w:rsidR="00E420C4" w:rsidRPr="00E420C4" w:rsidRDefault="00E420C4" w:rsidP="00E420C4">
      <w:pPr>
        <w:pStyle w:val="Title"/>
        <w:rPr>
          <w:sz w:val="32"/>
          <w:szCs w:val="32"/>
        </w:rPr>
      </w:pPr>
      <w:r>
        <w:rPr>
          <w:sz w:val="32"/>
          <w:szCs w:val="32"/>
        </w:rPr>
        <w:t>BID NO. 22</w:t>
      </w:r>
      <w:r w:rsidR="00624B89">
        <w:rPr>
          <w:sz w:val="32"/>
          <w:szCs w:val="32"/>
        </w:rPr>
        <w:t>-</w:t>
      </w:r>
      <w:r w:rsidR="0037426B">
        <w:rPr>
          <w:sz w:val="32"/>
          <w:szCs w:val="32"/>
        </w:rPr>
        <w:t>23</w:t>
      </w:r>
      <w:r w:rsidR="00624B89">
        <w:rPr>
          <w:sz w:val="32"/>
          <w:szCs w:val="32"/>
        </w:rPr>
        <w:t>/</w:t>
      </w:r>
      <w:r>
        <w:rPr>
          <w:sz w:val="32"/>
          <w:szCs w:val="32"/>
        </w:rPr>
        <w:t>00</w:t>
      </w:r>
      <w:r w:rsidR="0037426B">
        <w:rPr>
          <w:sz w:val="32"/>
          <w:szCs w:val="32"/>
        </w:rPr>
        <w:t>1</w:t>
      </w:r>
      <w:r>
        <w:rPr>
          <w:sz w:val="32"/>
          <w:szCs w:val="32"/>
        </w:rPr>
        <w:t>P</w:t>
      </w:r>
    </w:p>
    <w:p w14:paraId="0FAC7F09" w14:textId="0AE3289B" w:rsidR="0013145C" w:rsidRDefault="00031A93">
      <w:r>
        <w:t xml:space="preserve">To: All </w:t>
      </w:r>
      <w:r w:rsidR="00E420C4">
        <w:t>P</w:t>
      </w:r>
      <w:r>
        <w:t xml:space="preserve">rospective </w:t>
      </w:r>
      <w:r w:rsidR="00E420C4">
        <w:t>B</w:t>
      </w:r>
      <w:r>
        <w:t>idders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37426B">
        <w:t>August</w:t>
      </w:r>
      <w:r>
        <w:t xml:space="preserve"> 2</w:t>
      </w:r>
      <w:r w:rsidR="007417B9">
        <w:t>6</w:t>
      </w:r>
      <w:r>
        <w:t>, 2022</w:t>
      </w:r>
    </w:p>
    <w:p w14:paraId="0945600C" w14:textId="458256EB" w:rsidR="00031A93" w:rsidRDefault="00031A93"/>
    <w:p w14:paraId="344D55CE" w14:textId="12D82945" w:rsidR="00031A93" w:rsidRDefault="00031A93">
      <w:r>
        <w:t xml:space="preserve">With this Addendum No. 1, Temple City Unified School District (“District”) provides the following changes to the original Request for </w:t>
      </w:r>
      <w:r w:rsidR="0037426B">
        <w:t>CalSHAPE HVAC Services</w:t>
      </w:r>
      <w:r w:rsidR="00A62AFA">
        <w:t xml:space="preserve"> dated </w:t>
      </w:r>
      <w:r w:rsidR="0037426B">
        <w:t>August</w:t>
      </w:r>
      <w:r w:rsidR="00A62AFA">
        <w:t xml:space="preserve"> </w:t>
      </w:r>
      <w:r w:rsidR="0037426B">
        <w:t>23</w:t>
      </w:r>
      <w:r w:rsidR="00A62AFA">
        <w:t>, 2022. Unless explicitly stated herein, all other terms, conditions, and requirements of the RF</w:t>
      </w:r>
      <w:r w:rsidR="00A57338">
        <w:t>Q</w:t>
      </w:r>
      <w:r w:rsidR="00A62AFA">
        <w:t xml:space="preserve"> are in full force and effect and shall remain unchanged. In case of conflict between the RF</w:t>
      </w:r>
      <w:r w:rsidR="00A57338">
        <w:t>Q</w:t>
      </w:r>
      <w:r w:rsidR="00A62AFA">
        <w:t xml:space="preserve"> and this Addendum, this Addendum shall govern.</w:t>
      </w:r>
    </w:p>
    <w:p w14:paraId="11ACFC1A" w14:textId="703F6D27" w:rsidR="00A62AFA" w:rsidRDefault="00A62AFA">
      <w:r>
        <w:t xml:space="preserve">The District hereby </w:t>
      </w:r>
      <w:r w:rsidR="00303C29">
        <w:t xml:space="preserve">confirms it has successfully submitted its CalSHAPE applications and has received approved funding for </w:t>
      </w:r>
      <w:r w:rsidR="00902DF0">
        <w:t>eight</w:t>
      </w:r>
      <w:r w:rsidR="00303C29">
        <w:t xml:space="preserve"> (</w:t>
      </w:r>
      <w:r w:rsidR="00902DF0">
        <w:t>8</w:t>
      </w:r>
      <w:r w:rsidR="00303C29">
        <w:t>) sites</w:t>
      </w:r>
      <w:r w:rsidR="00902DF0">
        <w:t xml:space="preserve"> at seven (7)</w:t>
      </w:r>
      <w:r w:rsidR="007417B9">
        <w:t xml:space="preserve"> locations</w:t>
      </w:r>
      <w:r w:rsidR="00303C29">
        <w:t xml:space="preserve">. </w:t>
      </w:r>
      <w:r w:rsidR="00912A94">
        <w:t xml:space="preserve">Currently, </w:t>
      </w:r>
      <w:r w:rsidR="00303C29">
        <w:t>Attachment A lists s</w:t>
      </w:r>
      <w:r w:rsidR="00624B89">
        <w:t>ix (6) sites, however, Dr. Doug Sears Learning Center and Temple City Alternative are the same site with the same address</w:t>
      </w:r>
      <w:r w:rsidR="007417B9">
        <w:t>.</w:t>
      </w:r>
      <w:r w:rsidR="0059449E">
        <w:t xml:space="preserve"> </w:t>
      </w:r>
      <w:r w:rsidR="00912A94">
        <w:t>This addendum also includes two additional sites that were approved by the CEC</w:t>
      </w:r>
      <w:r w:rsidR="00CE20E7">
        <w:t xml:space="preserve"> (California Energy Commission)</w:t>
      </w:r>
      <w:r w:rsidR="00912A94">
        <w:t xml:space="preserve">. </w:t>
      </w:r>
      <w:r w:rsidR="00EB7196">
        <w:t xml:space="preserve">The total requested amount is </w:t>
      </w:r>
      <w:r w:rsidR="007417B9">
        <w:t>$642,326.40.</w:t>
      </w:r>
      <w:r w:rsidR="00EB7196">
        <w:t xml:space="preserve">  </w:t>
      </w:r>
      <w:r w:rsidR="0059449E">
        <w:t xml:space="preserve">The revision to Attachment A is </w:t>
      </w:r>
      <w:r w:rsidR="00912A94">
        <w:t>on the next page.</w:t>
      </w:r>
    </w:p>
    <w:p w14:paraId="68A7E3AE" w14:textId="0BD66F25" w:rsidR="00912A94" w:rsidRDefault="00912A94"/>
    <w:p w14:paraId="3C728541" w14:textId="106EEBE7" w:rsidR="00912A94" w:rsidRDefault="00912A94"/>
    <w:p w14:paraId="0A5CB5DE" w14:textId="21B9BAED" w:rsidR="00912A94" w:rsidRDefault="00912A94"/>
    <w:p w14:paraId="6D44CF31" w14:textId="03CD7461" w:rsidR="00912A94" w:rsidRDefault="00912A94"/>
    <w:p w14:paraId="7BF65E2A" w14:textId="3587628D" w:rsidR="00912A94" w:rsidRDefault="00912A94"/>
    <w:p w14:paraId="25DC8747" w14:textId="183E7048" w:rsidR="00912A94" w:rsidRDefault="00912A94"/>
    <w:p w14:paraId="2E664A8E" w14:textId="2546FF9B" w:rsidR="00912A94" w:rsidRDefault="00912A94"/>
    <w:p w14:paraId="2FC8A4DE" w14:textId="3F699E08" w:rsidR="00912A94" w:rsidRDefault="00912A94"/>
    <w:p w14:paraId="51E07A63" w14:textId="2BC40DDE" w:rsidR="00912A94" w:rsidRDefault="00912A94"/>
    <w:p w14:paraId="1B54D8B0" w14:textId="2109A604" w:rsidR="00912A94" w:rsidRDefault="00912A94"/>
    <w:p w14:paraId="0A32A546" w14:textId="77777777" w:rsidR="00912A94" w:rsidRDefault="00912A94"/>
    <w:p w14:paraId="0F1FCD3E" w14:textId="77777777" w:rsidR="00912A94" w:rsidRPr="00912A94" w:rsidRDefault="00912A94" w:rsidP="00912A94">
      <w:pPr>
        <w:widowControl w:val="0"/>
        <w:autoSpaceDE w:val="0"/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912A94">
        <w:rPr>
          <w:rFonts w:ascii="Arial" w:hAnsi="Arial" w:cs="Arial"/>
          <w:b/>
          <w:bCs/>
          <w:sz w:val="22"/>
          <w:szCs w:val="22"/>
        </w:rPr>
        <w:lastRenderedPageBreak/>
        <w:t>Attachment “A”</w:t>
      </w:r>
    </w:p>
    <w:p w14:paraId="52116D53" w14:textId="77777777" w:rsidR="00912A94" w:rsidRPr="00912A94" w:rsidRDefault="00912A94" w:rsidP="00912A94">
      <w:pPr>
        <w:widowControl w:val="0"/>
        <w:autoSpaceDE w:val="0"/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912A94">
        <w:rPr>
          <w:rFonts w:ascii="Arial" w:hAnsi="Arial" w:cs="Arial"/>
          <w:b/>
          <w:bCs/>
          <w:sz w:val="22"/>
          <w:szCs w:val="22"/>
        </w:rPr>
        <w:t>THESE SITES HAVE BEEN APPROVED BY THE CEC:</w:t>
      </w:r>
    </w:p>
    <w:p w14:paraId="019BE162" w14:textId="77777777" w:rsidR="00912A94" w:rsidRPr="00912A94" w:rsidRDefault="00912A94" w:rsidP="00912A94">
      <w:pPr>
        <w:widowControl w:val="0"/>
        <w:autoSpaceDE w:val="0"/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11301" w:type="dxa"/>
        <w:tblInd w:w="-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90"/>
        <w:gridCol w:w="1350"/>
        <w:gridCol w:w="1260"/>
        <w:gridCol w:w="1260"/>
        <w:gridCol w:w="1225"/>
        <w:gridCol w:w="1295"/>
        <w:gridCol w:w="270"/>
        <w:gridCol w:w="855"/>
        <w:gridCol w:w="996"/>
      </w:tblGrid>
      <w:tr w:rsidR="00912A94" w:rsidRPr="00912A94" w14:paraId="1D19589B" w14:textId="77777777" w:rsidTr="00C47045">
        <w:trPr>
          <w:trHeight w:val="109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4222EB0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School Site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3E65F7B8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Assessment &amp; Maintenance (approx. $1,000 per unit)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8DD34B8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CO2 Monitors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93C5FBF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MERV Filters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C31E140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20% Contingency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09B3D4C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Total Funding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E8B7FEC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8B76F7A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Approx. Units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303C8725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Approx. CO2 Monitors</w:t>
            </w:r>
          </w:p>
        </w:tc>
      </w:tr>
      <w:tr w:rsidR="00912A94" w:rsidRPr="00912A94" w14:paraId="6A5AE93D" w14:textId="77777777" w:rsidTr="00C47045">
        <w:trPr>
          <w:trHeight w:val="255"/>
        </w:trPr>
        <w:tc>
          <w:tcPr>
            <w:tcW w:w="279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8F4B1" w14:textId="77777777" w:rsidR="00912A94" w:rsidRPr="00912A94" w:rsidRDefault="00912A94" w:rsidP="00912A9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Longden Elementary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027F6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$55,944.00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9AD02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$52,800.00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EF8BF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$4,725.00 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99B1E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$24,691.80 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09EAB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$138,160.80 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3FEFC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9BC93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471421A1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88</w:t>
            </w:r>
          </w:p>
        </w:tc>
      </w:tr>
      <w:tr w:rsidR="00912A94" w:rsidRPr="00912A94" w14:paraId="7454936E" w14:textId="77777777" w:rsidTr="00C47045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3CB2BB80" w14:textId="77777777" w:rsidR="00912A94" w:rsidRPr="00912A94" w:rsidRDefault="00912A94" w:rsidP="00912A9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Temple City High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FCFFE62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$75,924.00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595ECA1F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$30,000.00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47CDCE8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$15,450.00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5337B5C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$26,272.80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0310526A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$147,646.80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43665C1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55EA6E43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D94E652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912A94" w:rsidRPr="00912A94" w14:paraId="342B6E1E" w14:textId="77777777" w:rsidTr="00C4704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8D347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BE2F6C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$131,868.00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2E19FB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$82,800.00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A75A32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$20,175.00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3C09DA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$50,964.60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52DA4B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$285,807.60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D50E1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649537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>132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BD31C7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>138</w:t>
            </w:r>
          </w:p>
        </w:tc>
      </w:tr>
    </w:tbl>
    <w:p w14:paraId="012C520A" w14:textId="77777777" w:rsidR="00912A94" w:rsidRPr="00912A94" w:rsidRDefault="00912A94" w:rsidP="00912A94">
      <w:pPr>
        <w:widowControl w:val="0"/>
        <w:autoSpaceDE w:val="0"/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C53F4A5" w14:textId="77777777" w:rsidR="00912A94" w:rsidRPr="00912A94" w:rsidRDefault="00912A94" w:rsidP="00912A94">
      <w:pPr>
        <w:widowControl w:val="0"/>
        <w:autoSpaceDE w:val="0"/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BDD1B75" w14:textId="77777777" w:rsidR="00912A94" w:rsidRPr="00912A94" w:rsidRDefault="00912A94" w:rsidP="00912A94">
      <w:pPr>
        <w:widowControl w:val="0"/>
        <w:autoSpaceDE w:val="0"/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912A94">
        <w:rPr>
          <w:rFonts w:ascii="Arial" w:hAnsi="Arial" w:cs="Arial"/>
          <w:b/>
          <w:bCs/>
          <w:sz w:val="22"/>
          <w:szCs w:val="22"/>
        </w:rPr>
        <w:t>THESE SITES ARE PENDING GRANT FUNDING APPROVAL:</w:t>
      </w:r>
    </w:p>
    <w:tbl>
      <w:tblPr>
        <w:tblW w:w="11359" w:type="dxa"/>
        <w:tblInd w:w="-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90"/>
        <w:gridCol w:w="1350"/>
        <w:gridCol w:w="1350"/>
        <w:gridCol w:w="1260"/>
        <w:gridCol w:w="1225"/>
        <w:gridCol w:w="1295"/>
        <w:gridCol w:w="270"/>
        <w:gridCol w:w="855"/>
        <w:gridCol w:w="964"/>
      </w:tblGrid>
      <w:tr w:rsidR="00912A94" w:rsidRPr="00912A94" w14:paraId="6A71FFC6" w14:textId="77777777" w:rsidTr="00C47045">
        <w:trPr>
          <w:trHeight w:val="106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4C7341B7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School Site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CACE258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Assessment &amp; Maintenance (approx. $1,000 per unit)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F743425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CO2 Monitors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80131C0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MERV Filters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0DE896F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20% Contingency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44B5CBC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Total Funding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A318A56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994F09E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Approx. Units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31DF9C0A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912A94">
              <w:rPr>
                <w:rFonts w:ascii="Calibri" w:hAnsi="Calibri" w:cs="Calibri"/>
                <w:color w:val="FFFFFF"/>
                <w:sz w:val="20"/>
              </w:rPr>
              <w:t>Approx. CO2 Monitors</w:t>
            </w:r>
          </w:p>
        </w:tc>
      </w:tr>
      <w:tr w:rsidR="00912A94" w:rsidRPr="00912A94" w14:paraId="5C32F7FF" w14:textId="77777777" w:rsidTr="00C47045">
        <w:trPr>
          <w:trHeight w:val="255"/>
        </w:trPr>
        <w:tc>
          <w:tcPr>
            <w:tcW w:w="279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E4E75" w14:textId="77777777" w:rsidR="00912A94" w:rsidRPr="00912A94" w:rsidRDefault="00912A94" w:rsidP="00912A9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Dr. Doug Sears Learning Center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4BE30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$1,998.00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10F8E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$1,200.00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E8571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$150.00 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20523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$2,667.60 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BD552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$6,015.60 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3A12E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6DB14E3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DBD24A0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912A94" w:rsidRPr="00912A94" w14:paraId="342417F0" w14:textId="77777777" w:rsidTr="00C4704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0E4CE" w14:textId="77777777" w:rsidR="00912A94" w:rsidRPr="00912A94" w:rsidRDefault="00912A94" w:rsidP="00912A9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Temple City Alternative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66D47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$4,995.00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B30B5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$3,000.00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86985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$375.00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4DE06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$3,672.00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64355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$12,042.00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1BB5D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DD46D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EAB13D0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912A94" w:rsidRPr="00912A94" w14:paraId="498AC6CF" w14:textId="77777777" w:rsidTr="00C4704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711F3" w14:textId="77777777" w:rsidR="00912A94" w:rsidRPr="00912A94" w:rsidRDefault="00912A94" w:rsidP="00912A9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Cloverly Elementary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88738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$26,973.00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8576C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$16,200.00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2E8940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$3,600.00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42CE0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$11,352.60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A51F0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$58,125.60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61F61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EB91D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6F03E18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</w:tr>
      <w:tr w:rsidR="00912A94" w:rsidRPr="00912A94" w14:paraId="344404A1" w14:textId="77777777" w:rsidTr="00C4704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9C47C" w14:textId="77777777" w:rsidR="00912A94" w:rsidRPr="00912A94" w:rsidRDefault="00912A94" w:rsidP="00912A9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Emperor Elementary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3BD09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$38,961.00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7E301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$23,400.00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C63F3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$4,350.00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318CD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$15,340.20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B3ACE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$82,051.20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BAB82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F5652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10F5531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</w:tr>
      <w:tr w:rsidR="00912A94" w:rsidRPr="00912A94" w14:paraId="151E97F5" w14:textId="77777777" w:rsidTr="00C4704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2676F" w14:textId="77777777" w:rsidR="00912A94" w:rsidRPr="00912A94" w:rsidRDefault="00912A94" w:rsidP="00912A9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La Rosa Elementary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6EA16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$46,953.00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F22E3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$28,200.00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A3096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$5,325.00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6C754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$18,093.60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9BD62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$98,571.60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3003D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D015F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EA71DA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</w:tr>
      <w:tr w:rsidR="00912A94" w:rsidRPr="00912A94" w14:paraId="58C8C736" w14:textId="77777777" w:rsidTr="00C4704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51B84AB9" w14:textId="77777777" w:rsidR="00912A94" w:rsidRPr="00912A94" w:rsidRDefault="00912A94" w:rsidP="00912A9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Oak Avenue Intermediate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617884E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$45,954.00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FD4DDCB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$30,600.00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544D9D32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$4,875.00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0946918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$18,283.80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1890A712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 xml:space="preserve"> $99,712.80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00661FDB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E0BE84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9C35F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</w:tr>
      <w:tr w:rsidR="00912A94" w:rsidRPr="00912A94" w14:paraId="4DC8BAA6" w14:textId="77777777" w:rsidTr="00C4704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F4932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F7D030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$165,834.00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FAB726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$102,600.00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51146F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$18,675.00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89A1D1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$69,409.80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11B14E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$356,518.80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BEA21" w14:textId="77777777" w:rsidR="00912A94" w:rsidRPr="00912A94" w:rsidRDefault="00912A94" w:rsidP="00912A94">
            <w:pPr>
              <w:spacing w:after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CE1EA4D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166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E65E9F" w14:textId="77777777" w:rsidR="00912A94" w:rsidRPr="00912A94" w:rsidRDefault="00912A94" w:rsidP="00912A9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12A94">
              <w:rPr>
                <w:rFonts w:ascii="Calibri" w:hAnsi="Calibri" w:cs="Calibri"/>
                <w:color w:val="000000"/>
                <w:sz w:val="20"/>
              </w:rPr>
              <w:t>171</w:t>
            </w:r>
          </w:p>
        </w:tc>
      </w:tr>
    </w:tbl>
    <w:p w14:paraId="33B9E9EA" w14:textId="7E4F84C1" w:rsidR="00902DF0" w:rsidRDefault="00902DF0"/>
    <w:p w14:paraId="4BA4DCA5" w14:textId="77777777" w:rsidR="00902DF0" w:rsidRDefault="00902DF0"/>
    <w:p w14:paraId="69DA997B" w14:textId="447057CF" w:rsidR="00E420C4" w:rsidRPr="00E420C4" w:rsidRDefault="00E420C4" w:rsidP="00E420C4">
      <w:r>
        <w:t xml:space="preserve">Except for the </w:t>
      </w:r>
      <w:r w:rsidR="00624B89">
        <w:t>clarification herein</w:t>
      </w:r>
      <w:r>
        <w:t>, all terms, conditions, and requirements remain as stated in the RF</w:t>
      </w:r>
      <w:r w:rsidR="005B5DF8">
        <w:t>Q</w:t>
      </w:r>
      <w:r>
        <w:t>. However, unless and until any such subsequent addenda are issued, the RF</w:t>
      </w:r>
      <w:r w:rsidR="005B5DF8">
        <w:t>Q</w:t>
      </w:r>
      <w:r>
        <w:t xml:space="preserve"> and this Addendum No. 1 shall constitute the entire and complete RF</w:t>
      </w:r>
      <w:r w:rsidR="005B5DF8">
        <w:t>Q</w:t>
      </w:r>
      <w:r>
        <w:t>.</w:t>
      </w:r>
    </w:p>
    <w:p w14:paraId="2E4D9BF9" w14:textId="77777777" w:rsidR="00A62AFA" w:rsidRDefault="00A62AFA"/>
    <w:sectPr w:rsidR="00A6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93"/>
    <w:rsid w:val="00031A93"/>
    <w:rsid w:val="0013145C"/>
    <w:rsid w:val="001F36A9"/>
    <w:rsid w:val="00303C29"/>
    <w:rsid w:val="0037426B"/>
    <w:rsid w:val="004249A7"/>
    <w:rsid w:val="004700E7"/>
    <w:rsid w:val="0059449E"/>
    <w:rsid w:val="005B5DF8"/>
    <w:rsid w:val="00624B89"/>
    <w:rsid w:val="007417B9"/>
    <w:rsid w:val="00902DF0"/>
    <w:rsid w:val="00912A94"/>
    <w:rsid w:val="00A57338"/>
    <w:rsid w:val="00A62AFA"/>
    <w:rsid w:val="00C058C9"/>
    <w:rsid w:val="00CE20E7"/>
    <w:rsid w:val="00E420C4"/>
    <w:rsid w:val="00E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77A4"/>
  <w15:chartTrackingRefBased/>
  <w15:docId w15:val="{1EF8D43F-0B0A-4F50-9F76-37E3FACE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9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031A93"/>
    <w:pPr>
      <w:spacing w:after="480"/>
      <w:jc w:val="center"/>
      <w:outlineLvl w:val="0"/>
    </w:pPr>
    <w:rPr>
      <w:b/>
      <w:caps/>
      <w:kern w:val="28"/>
    </w:rPr>
  </w:style>
  <w:style w:type="character" w:customStyle="1" w:styleId="TitleChar">
    <w:name w:val="Title Char"/>
    <w:basedOn w:val="DefaultParagraphFont"/>
    <w:link w:val="Title"/>
    <w:uiPriority w:val="14"/>
    <w:rsid w:val="00031A93"/>
    <w:rPr>
      <w:rFonts w:ascii="Times New Roman" w:eastAsia="Times New Roman" w:hAnsi="Times New Roman" w:cs="Times New Roman"/>
      <w:b/>
      <w:caps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Vasquez</dc:creator>
  <cp:keywords/>
  <dc:description/>
  <cp:lastModifiedBy>Diana Vasquez</cp:lastModifiedBy>
  <cp:revision>12</cp:revision>
  <dcterms:created xsi:type="dcterms:W3CDTF">2022-08-25T16:08:00Z</dcterms:created>
  <dcterms:modified xsi:type="dcterms:W3CDTF">2022-08-26T21:28:00Z</dcterms:modified>
</cp:coreProperties>
</file>